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280"/>
        <w:gridCol w:w="1728"/>
      </w:tblGrid>
      <w:tr>
        <w:tc>
          <w:tcPr>
            <w:tcW w:type="dxa" w:w="5026"/>
            <w:shd w:fill="14213D"/>
            <w:tcMar>
              <w:top w:w="180" w:type="dxa"/>
              <w:start w:w="180" w:type="dxa"/>
              <w:bottom w:w="185" w:type="dxa"/>
              <w:end w:w="145" w:type="dxa"/>
            </w:tcMar>
          </w:tcPr>
          <w:p>
            <w:r>
              <w:rPr>
                <w:rFonts w:ascii="Aptos" w:hAnsi="Aptos"/>
                <w:b/>
                <w:color w:val="DBC083"/>
                <w:sz w:val="16"/>
              </w:rPr>
              <w:t>03  /  STARTUP &amp; LICENSING READINESS</w:t>
            </w:r>
          </w:p>
          <w:p>
            <w:pPr>
              <w:spacing w:before="120"/>
            </w:pPr>
            <w:r>
              <w:rPr>
                <w:rFonts w:ascii="Aptos" w:hAnsi="Aptos"/>
                <w:b/>
                <w:color w:val="FFFFFF"/>
                <w:sz w:val="36"/>
              </w:rPr>
              <w:t>Startup Readiness Tracker</w:t>
            </w:r>
          </w:p>
        </w:tc>
        <w:tc>
          <w:tcPr>
            <w:tcW w:type="dxa" w:w="5026"/>
            <w:shd w:fill="F7F4ED"/>
            <w:tcMar>
              <w:top w:w="180" w:type="dxa"/>
              <w:start w:w="75" w:type="dxa"/>
              <w:bottom w:w="185" w:type="dxa"/>
              <w:end w:w="75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B38C41"/>
                <w:sz w:val="14"/>
              </w:rPr>
              <w:t>AGENCY LOGO</w:t>
            </w:r>
          </w:p>
          <w:p>
            <w:pPr>
              <w:spacing w:before="180"/>
              <w:jc w:val="center"/>
            </w:pPr>
            <w:r>
              <w:rPr>
                <w:rFonts w:ascii="Aptos" w:hAnsi="Aptos"/>
                <w:b w:val="0"/>
                <w:color w:val="596579"/>
                <w:sz w:val="14"/>
              </w:rPr>
              <w:t>Insert your logo</w:t>
            </w:r>
          </w:p>
        </w:tc>
      </w:tr>
    </w:tbl>
    <w:p>
      <w:pPr>
        <w:spacing w:before="180"/>
      </w:pPr>
      <w:r>
        <w:rPr>
          <w:rFonts w:ascii="Aptos" w:hAnsi="Aptos"/>
          <w:b w:val="0"/>
          <w:color w:val="596579"/>
          <w:sz w:val="20"/>
        </w:rPr>
        <w:t>Assign ownership to every prerequisite and retain proof.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052"/>
      </w:tblGrid>
      <w:tr>
        <w:tc>
          <w:tcPr>
            <w:tcW w:type="dxa" w:w="10052"/>
            <w:shd w:fill="F7F4ED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rFonts w:ascii="Aptos" w:hAnsi="Aptos"/>
                <w:b/>
                <w:color w:val="B38C41"/>
                <w:sz w:val="16"/>
              </w:rPr>
              <w:t xml:space="preserve">PURPOSE   </w:t>
            </w:r>
            <w:r>
              <w:rPr>
                <w:rFonts w:ascii="Aptos" w:hAnsi="Aptos"/>
                <w:b w:val="0"/>
                <w:color w:val="14213D"/>
                <w:sz w:val="17"/>
              </w:rPr>
              <w:t>Turn scattered to-do lists into accountable work: requirement, owner, status, evidence, blocker and next checkpoint.</w:t>
            </w:r>
          </w:p>
        </w:tc>
      </w:tr>
    </w:tbl>
    <w:p>
      <w:pPr>
        <w:spacing w:before="200" w:after="100"/>
      </w:pPr>
      <w:r>
        <w:rPr>
          <w:rFonts w:ascii="Aptos" w:hAnsi="Aptos"/>
          <w:b/>
          <w:color w:val="14213D"/>
          <w:sz w:val="22"/>
        </w:rPr>
        <w:t>Agency launch snapshot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4"/>
        <w:gridCol w:w="3672"/>
        <w:gridCol w:w="3024"/>
      </w:tblGrid>
      <w:tr>
        <w:tc>
          <w:tcPr>
            <w:tcW w:type="dxa" w:w="3351"/>
            <w:shd w:fill="14213D"/>
            <w:tcMar>
              <w:top w:w="75" w:type="dxa"/>
              <w:start w:w="85" w:type="dxa"/>
              <w:bottom w:w="70" w:type="dxa"/>
              <w:end w:w="85" w:type="dxa"/>
            </w:tcMar>
          </w:tcPr>
          <w:p>
            <w:r>
              <w:rPr>
                <w:rFonts w:ascii="Aptos" w:hAnsi="Aptos"/>
                <w:b/>
                <w:color w:val="FFFFFF"/>
                <w:sz w:val="15"/>
              </w:rPr>
              <w:t>Agency name</w:t>
            </w:r>
          </w:p>
        </w:tc>
        <w:tc>
          <w:tcPr>
            <w:tcW w:type="dxa" w:w="3351"/>
            <w:shd w:fill="14213D"/>
            <w:tcMar>
              <w:top w:w="75" w:type="dxa"/>
              <w:start w:w="85" w:type="dxa"/>
              <w:bottom w:w="70" w:type="dxa"/>
              <w:end w:w="85" w:type="dxa"/>
            </w:tcMar>
          </w:tcPr>
          <w:p>
            <w:r>
              <w:rPr>
                <w:rFonts w:ascii="Aptos" w:hAnsi="Aptos"/>
                <w:b/>
                <w:color w:val="FFFFFF"/>
                <w:sz w:val="15"/>
              </w:rPr>
              <w:t>State / service pathway</w:t>
            </w:r>
          </w:p>
        </w:tc>
        <w:tc>
          <w:tcPr>
            <w:tcW w:type="dxa" w:w="3351"/>
            <w:shd w:fill="14213D"/>
            <w:tcMar>
              <w:top w:w="75" w:type="dxa"/>
              <w:start w:w="85" w:type="dxa"/>
              <w:bottom w:w="70" w:type="dxa"/>
              <w:end w:w="85" w:type="dxa"/>
            </w:tcMar>
          </w:tcPr>
          <w:p>
            <w:r>
              <w:rPr>
                <w:rFonts w:ascii="Aptos" w:hAnsi="Aptos"/>
                <w:b/>
                <w:color w:val="FFFFFF"/>
                <w:sz w:val="15"/>
              </w:rPr>
              <w:t>Target date (planning only)</w:t>
            </w:r>
          </w:p>
        </w:tc>
      </w:tr>
      <w:tr>
        <w:tc>
          <w:tcPr>
            <w:tcW w:type="dxa" w:w="3384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  <w:tc>
          <w:tcPr>
            <w:tcW w:type="dxa" w:w="3672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  <w:tc>
          <w:tcPr>
            <w:tcW w:type="dxa" w:w="3024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052"/>
      </w:tblGrid>
      <w:tr>
        <w:tc>
          <w:tcPr>
            <w:tcW w:type="dxa" w:w="10052"/>
            <w:shd w:fill="F7F4ED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rFonts w:ascii="Aptos" w:hAnsi="Aptos"/>
                <w:b/>
                <w:color w:val="B38C41"/>
                <w:sz w:val="16"/>
              </w:rPr>
              <w:t xml:space="preserve">OPERATING RULE   </w:t>
            </w:r>
            <w:r>
              <w:rPr>
                <w:rFonts w:ascii="Aptos" w:hAnsi="Aptos"/>
                <w:b w:val="0"/>
                <w:color w:val="14213D"/>
                <w:sz w:val="17"/>
              </w:rPr>
              <w:t>Use this as a project tracker, not a substitute for state authorization. An owner must verify the proof before marking a licensing-dependent item complete.</w:t>
            </w:r>
          </w:p>
        </w:tc>
      </w:tr>
    </w:tbl>
    <w:p>
      <w:pPr>
        <w:spacing w:before="200" w:after="100"/>
      </w:pPr>
      <w:r>
        <w:rPr>
          <w:rFonts w:ascii="Aptos" w:hAnsi="Aptos"/>
          <w:b/>
          <w:color w:val="14213D"/>
          <w:sz w:val="22"/>
        </w:rPr>
        <w:t>Workstream tracker  /  Part 1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08"/>
        <w:gridCol w:w="5472"/>
      </w:tblGrid>
      <w:tr>
        <w:tc>
          <w:tcPr>
            <w:tcW w:type="dxa" w:w="5026"/>
            <w:shd w:fill="14213D"/>
            <w:tcMar>
              <w:top w:w="75" w:type="dxa"/>
              <w:start w:w="85" w:type="dxa"/>
              <w:bottom w:w="70" w:type="dxa"/>
              <w:end w:w="85" w:type="dxa"/>
            </w:tcMar>
          </w:tcPr>
          <w:p>
            <w:r>
              <w:rPr>
                <w:rFonts w:ascii="Aptos" w:hAnsi="Aptos"/>
                <w:b/>
                <w:color w:val="FFFFFF"/>
                <w:sz w:val="15"/>
              </w:rPr>
              <w:t>Workstream</w:t>
            </w:r>
          </w:p>
        </w:tc>
        <w:tc>
          <w:tcPr>
            <w:tcW w:type="dxa" w:w="5026"/>
            <w:shd w:fill="14213D"/>
            <w:tcMar>
              <w:top w:w="75" w:type="dxa"/>
              <w:start w:w="85" w:type="dxa"/>
              <w:bottom w:w="70" w:type="dxa"/>
              <w:end w:w="85" w:type="dxa"/>
            </w:tcMar>
          </w:tcPr>
          <w:p>
            <w:r>
              <w:rPr>
                <w:rFonts w:ascii="Aptos" w:hAnsi="Aptos"/>
                <w:b/>
                <w:color w:val="FFFFFF"/>
                <w:sz w:val="15"/>
              </w:rPr>
              <w:t>Owner / status / evidence / next date</w:t>
            </w:r>
          </w:p>
        </w:tc>
      </w:tr>
      <w:tr>
        <w:tc>
          <w:tcPr>
            <w:tcW w:type="dxa" w:w="4608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5"/>
              </w:rPr>
              <w:t>Service classification and state authority</w:t>
            </w:r>
          </w:p>
        </w:tc>
        <w:tc>
          <w:tcPr>
            <w:tcW w:type="dxa" w:w="5472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5"/>
              </w:rPr>
            </w:r>
          </w:p>
        </w:tc>
      </w:tr>
      <w:tr>
        <w:tc>
          <w:tcPr>
            <w:tcW w:type="dxa" w:w="4608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5"/>
              </w:rPr>
              <w:t>Formal licensing / certification application</w:t>
            </w:r>
          </w:p>
        </w:tc>
        <w:tc>
          <w:tcPr>
            <w:tcW w:type="dxa" w:w="5472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5"/>
              </w:rPr>
            </w:r>
          </w:p>
        </w:tc>
      </w:tr>
      <w:tr>
        <w:tc>
          <w:tcPr>
            <w:tcW w:type="dxa" w:w="4608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5"/>
              </w:rPr>
              <w:t>Business entity, taxes and banking</w:t>
            </w:r>
          </w:p>
        </w:tc>
        <w:tc>
          <w:tcPr>
            <w:tcW w:type="dxa" w:w="5472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5"/>
              </w:rPr>
            </w:r>
          </w:p>
        </w:tc>
      </w:tr>
      <w:tr>
        <w:tc>
          <w:tcPr>
            <w:tcW w:type="dxa" w:w="4608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5"/>
              </w:rPr>
              <w:t>Office / zoning / branch review</w:t>
            </w:r>
          </w:p>
        </w:tc>
        <w:tc>
          <w:tcPr>
            <w:tcW w:type="dxa" w:w="5472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5"/>
              </w:rPr>
            </w:r>
          </w:p>
        </w:tc>
      </w:tr>
      <w:tr>
        <w:tc>
          <w:tcPr>
            <w:tcW w:type="dxa" w:w="4608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5"/>
              </w:rPr>
              <w:t>Administrator and governing responsibilities</w:t>
            </w:r>
          </w:p>
        </w:tc>
        <w:tc>
          <w:tcPr>
            <w:tcW w:type="dxa" w:w="5472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5"/>
              </w:rPr>
            </w:r>
          </w:p>
        </w:tc>
      </w:tr>
      <w:tr>
        <w:tc>
          <w:tcPr>
            <w:tcW w:type="dxa" w:w="4608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5"/>
              </w:rPr>
              <w:t>Insurance and financial evidence</w:t>
            </w:r>
          </w:p>
        </w:tc>
        <w:tc>
          <w:tcPr>
            <w:tcW w:type="dxa" w:w="5472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5"/>
              </w:rPr>
            </w:r>
          </w:p>
        </w:tc>
      </w:tr>
      <w:tr>
        <w:tc>
          <w:tcPr>
            <w:tcW w:type="dxa" w:w="4608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5"/>
              </w:rPr>
              <w:t>Pre-employment screening framework</w:t>
            </w:r>
          </w:p>
        </w:tc>
        <w:tc>
          <w:tcPr>
            <w:tcW w:type="dxa" w:w="5472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5"/>
              </w:rPr>
            </w:r>
          </w:p>
        </w:tc>
      </w:tr>
      <w:tr>
        <w:tc>
          <w:tcPr>
            <w:tcW w:type="dxa" w:w="4608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5"/>
              </w:rPr>
              <w:t>Staff orientation / training / competency</w:t>
            </w:r>
          </w:p>
        </w:tc>
        <w:tc>
          <w:tcPr>
            <w:tcW w:type="dxa" w:w="5472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5"/>
              </w:rPr>
            </w:r>
          </w:p>
        </w:tc>
      </w:tr>
      <w:tr>
        <w:tc>
          <w:tcPr>
            <w:tcW w:type="dxa" w:w="4608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5"/>
              </w:rPr>
              <w:t>Client intake and agreement workflow</w:t>
            </w:r>
          </w:p>
        </w:tc>
        <w:tc>
          <w:tcPr>
            <w:tcW w:type="dxa" w:w="5472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5"/>
              </w:rPr>
            </w:r>
          </w:p>
        </w:tc>
      </w:tr>
      <w:tr>
        <w:tc>
          <w:tcPr>
            <w:tcW w:type="dxa" w:w="4608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5"/>
              </w:rPr>
              <w:t>Care plan and caregiver documentation process</w:t>
            </w:r>
          </w:p>
        </w:tc>
        <w:tc>
          <w:tcPr>
            <w:tcW w:type="dxa" w:w="5472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5"/>
              </w:rPr>
            </w:r>
          </w:p>
        </w:tc>
      </w:tr>
    </w:tbl>
    <w:p>
      <w:r>
        <w:br w:type="page"/>
      </w:r>
    </w:p>
    <w:p>
      <w:pPr>
        <w:spacing w:after="240"/>
      </w:pPr>
      <w:r>
        <w:rPr>
          <w:rFonts w:ascii="Aptos" w:hAnsi="Aptos"/>
          <w:b/>
          <w:color w:val="B38C41"/>
          <w:sz w:val="18"/>
        </w:rPr>
        <w:t>WORKSTREAM TRACKER AND BLOCKERS</w:t>
      </w:r>
    </w:p>
    <w:p>
      <w:pPr>
        <w:spacing w:before="200" w:after="100"/>
      </w:pPr>
      <w:r>
        <w:rPr>
          <w:rFonts w:ascii="Aptos" w:hAnsi="Aptos"/>
          <w:b/>
          <w:color w:val="14213D"/>
          <w:sz w:val="22"/>
        </w:rPr>
        <w:t>Workstream tracker  /  Part 2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08"/>
        <w:gridCol w:w="5472"/>
      </w:tblGrid>
      <w:tr>
        <w:tc>
          <w:tcPr>
            <w:tcW w:type="dxa" w:w="5026"/>
            <w:shd w:fill="14213D"/>
            <w:tcMar>
              <w:top w:w="75" w:type="dxa"/>
              <w:start w:w="85" w:type="dxa"/>
              <w:bottom w:w="70" w:type="dxa"/>
              <w:end w:w="85" w:type="dxa"/>
            </w:tcMar>
          </w:tcPr>
          <w:p>
            <w:r>
              <w:rPr>
                <w:rFonts w:ascii="Aptos" w:hAnsi="Aptos"/>
                <w:b/>
                <w:color w:val="FFFFFF"/>
                <w:sz w:val="15"/>
              </w:rPr>
              <w:t>Workstream</w:t>
            </w:r>
          </w:p>
        </w:tc>
        <w:tc>
          <w:tcPr>
            <w:tcW w:type="dxa" w:w="5026"/>
            <w:shd w:fill="14213D"/>
            <w:tcMar>
              <w:top w:w="75" w:type="dxa"/>
              <w:start w:w="85" w:type="dxa"/>
              <w:bottom w:w="70" w:type="dxa"/>
              <w:end w:w="85" w:type="dxa"/>
            </w:tcMar>
          </w:tcPr>
          <w:p>
            <w:r>
              <w:rPr>
                <w:rFonts w:ascii="Aptos" w:hAnsi="Aptos"/>
                <w:b/>
                <w:color w:val="FFFFFF"/>
                <w:sz w:val="15"/>
              </w:rPr>
              <w:t>Owner / status / evidence / next date</w:t>
            </w:r>
          </w:p>
        </w:tc>
      </w:tr>
      <w:tr>
        <w:tc>
          <w:tcPr>
            <w:tcW w:type="dxa" w:w="4608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5"/>
              </w:rPr>
              <w:t>Supervisory and quality oversight</w:t>
            </w:r>
          </w:p>
        </w:tc>
        <w:tc>
          <w:tcPr>
            <w:tcW w:type="dxa" w:w="5472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5"/>
              </w:rPr>
            </w:r>
          </w:p>
        </w:tc>
      </w:tr>
      <w:tr>
        <w:tc>
          <w:tcPr>
            <w:tcW w:type="dxa" w:w="4608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5"/>
              </w:rPr>
              <w:t>Complaint, incident and safety process</w:t>
            </w:r>
          </w:p>
        </w:tc>
        <w:tc>
          <w:tcPr>
            <w:tcW w:type="dxa" w:w="5472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5"/>
              </w:rPr>
            </w:r>
          </w:p>
        </w:tc>
      </w:tr>
      <w:tr>
        <w:tc>
          <w:tcPr>
            <w:tcW w:type="dxa" w:w="4608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5"/>
              </w:rPr>
              <w:t>Records management and secure files</w:t>
            </w:r>
          </w:p>
        </w:tc>
        <w:tc>
          <w:tcPr>
            <w:tcW w:type="dxa" w:w="5472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5"/>
              </w:rPr>
            </w:r>
          </w:p>
        </w:tc>
      </w:tr>
      <w:tr>
        <w:tc>
          <w:tcPr>
            <w:tcW w:type="dxa" w:w="4608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5"/>
              </w:rPr>
              <w:t>Phone, website and referral response</w:t>
            </w:r>
          </w:p>
        </w:tc>
        <w:tc>
          <w:tcPr>
            <w:tcW w:type="dxa" w:w="5472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5"/>
              </w:rPr>
            </w:r>
          </w:p>
        </w:tc>
      </w:tr>
      <w:tr>
        <w:tc>
          <w:tcPr>
            <w:tcW w:type="dxa" w:w="4608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5"/>
              </w:rPr>
              <w:t>Staffing capacity and back-up coverage</w:t>
            </w:r>
          </w:p>
        </w:tc>
        <w:tc>
          <w:tcPr>
            <w:tcW w:type="dxa" w:w="5472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5"/>
              </w:rPr>
            </w:r>
          </w:p>
        </w:tc>
      </w:tr>
      <w:tr>
        <w:tc>
          <w:tcPr>
            <w:tcW w:type="dxa" w:w="4608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5"/>
              </w:rPr>
              <w:t>Medicaid enrollment and EVV if applicable</w:t>
            </w:r>
          </w:p>
        </w:tc>
        <w:tc>
          <w:tcPr>
            <w:tcW w:type="dxa" w:w="5472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5"/>
              </w:rPr>
            </w:r>
          </w:p>
        </w:tc>
      </w:tr>
      <w:tr>
        <w:tc>
          <w:tcPr>
            <w:tcW w:type="dxa" w:w="4608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5"/>
              </w:rPr>
              <w:t>Inspection / regulator follow-up</w:t>
            </w:r>
          </w:p>
        </w:tc>
        <w:tc>
          <w:tcPr>
            <w:tcW w:type="dxa" w:w="5472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5"/>
              </w:rPr>
            </w:r>
          </w:p>
        </w:tc>
      </w:tr>
      <w:tr>
        <w:tc>
          <w:tcPr>
            <w:tcW w:type="dxa" w:w="4608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5"/>
              </w:rPr>
              <w:t>Operational dry-run and opening decision</w:t>
            </w:r>
          </w:p>
        </w:tc>
        <w:tc>
          <w:tcPr>
            <w:tcW w:type="dxa" w:w="5472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5"/>
              </w:rPr>
            </w:r>
          </w:p>
        </w:tc>
      </w:tr>
    </w:tbl>
    <w:p>
      <w:pPr>
        <w:spacing w:before="200" w:after="100"/>
      </w:pPr>
      <w:r>
        <w:rPr>
          <w:rFonts w:ascii="Aptos" w:hAnsi="Aptos"/>
          <w:b/>
          <w:color w:val="14213D"/>
          <w:sz w:val="22"/>
        </w:rPr>
        <w:t>Decision-blocker register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08"/>
        <w:gridCol w:w="2376"/>
        <w:gridCol w:w="3096"/>
      </w:tblGrid>
      <w:tr>
        <w:tc>
          <w:tcPr>
            <w:tcW w:type="dxa" w:w="3351"/>
            <w:shd w:fill="14213D"/>
            <w:tcMar>
              <w:top w:w="75" w:type="dxa"/>
              <w:start w:w="85" w:type="dxa"/>
              <w:bottom w:w="70" w:type="dxa"/>
              <w:end w:w="85" w:type="dxa"/>
            </w:tcMar>
          </w:tcPr>
          <w:p>
            <w:r>
              <w:rPr>
                <w:rFonts w:ascii="Aptos" w:hAnsi="Aptos"/>
                <w:b/>
                <w:color w:val="FFFFFF"/>
                <w:sz w:val="15"/>
              </w:rPr>
              <w:t>Blocker / uncertain requirement</w:t>
            </w:r>
          </w:p>
        </w:tc>
        <w:tc>
          <w:tcPr>
            <w:tcW w:type="dxa" w:w="3351"/>
            <w:shd w:fill="14213D"/>
            <w:tcMar>
              <w:top w:w="75" w:type="dxa"/>
              <w:start w:w="85" w:type="dxa"/>
              <w:bottom w:w="70" w:type="dxa"/>
              <w:end w:w="85" w:type="dxa"/>
            </w:tcMar>
          </w:tcPr>
          <w:p>
            <w:r>
              <w:rPr>
                <w:rFonts w:ascii="Aptos" w:hAnsi="Aptos"/>
                <w:b/>
                <w:color w:val="FFFFFF"/>
                <w:sz w:val="15"/>
              </w:rPr>
              <w:t>Who resolves?</w:t>
            </w:r>
          </w:p>
        </w:tc>
        <w:tc>
          <w:tcPr>
            <w:tcW w:type="dxa" w:w="3351"/>
            <w:shd w:fill="14213D"/>
            <w:tcMar>
              <w:top w:w="75" w:type="dxa"/>
              <w:start w:w="85" w:type="dxa"/>
              <w:bottom w:w="70" w:type="dxa"/>
              <w:end w:w="85" w:type="dxa"/>
            </w:tcMar>
          </w:tcPr>
          <w:p>
            <w:r>
              <w:rPr>
                <w:rFonts w:ascii="Aptos" w:hAnsi="Aptos"/>
                <w:b/>
                <w:color w:val="FFFFFF"/>
                <w:sz w:val="15"/>
              </w:rPr>
              <w:t>Due / resolution proof</w:t>
            </w:r>
          </w:p>
        </w:tc>
      </w:tr>
      <w:tr>
        <w:tc>
          <w:tcPr>
            <w:tcW w:type="dxa" w:w="4608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  <w:tc>
          <w:tcPr>
            <w:tcW w:type="dxa" w:w="2376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  <w:tc>
          <w:tcPr>
            <w:tcW w:type="dxa" w:w="3096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</w:tr>
      <w:tr>
        <w:tc>
          <w:tcPr>
            <w:tcW w:type="dxa" w:w="4608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  <w:tc>
          <w:tcPr>
            <w:tcW w:type="dxa" w:w="2376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  <w:tc>
          <w:tcPr>
            <w:tcW w:type="dxa" w:w="3096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</w:tr>
      <w:tr>
        <w:tc>
          <w:tcPr>
            <w:tcW w:type="dxa" w:w="4608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  <w:tc>
          <w:tcPr>
            <w:tcW w:type="dxa" w:w="2376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  <w:tc>
          <w:tcPr>
            <w:tcW w:type="dxa" w:w="3096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</w:tr>
    </w:tbl>
    <w:p>
      <w:pPr>
        <w:spacing w:before="200" w:after="100"/>
      </w:pPr>
      <w:r>
        <w:rPr>
          <w:rFonts w:ascii="Aptos" w:hAnsi="Aptos"/>
          <w:b/>
          <w:color w:val="14213D"/>
          <w:sz w:val="22"/>
        </w:rPr>
        <w:t>Weekly owner review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16"/>
        <w:gridCol w:w="2664"/>
        <w:gridCol w:w="3024"/>
        <w:gridCol w:w="2376"/>
      </w:tblGrid>
      <w:tr>
        <w:tc>
          <w:tcPr>
            <w:tcW w:type="dxa" w:w="2513"/>
            <w:shd w:fill="14213D"/>
            <w:tcMar>
              <w:top w:w="75" w:type="dxa"/>
              <w:start w:w="85" w:type="dxa"/>
              <w:bottom w:w="70" w:type="dxa"/>
              <w:end w:w="85" w:type="dxa"/>
            </w:tcMar>
          </w:tcPr>
          <w:p>
            <w:r>
              <w:rPr>
                <w:rFonts w:ascii="Aptos" w:hAnsi="Aptos"/>
                <w:b/>
                <w:color w:val="FFFFFF"/>
                <w:sz w:val="15"/>
              </w:rPr>
              <w:t>Meeting date</w:t>
            </w:r>
          </w:p>
        </w:tc>
        <w:tc>
          <w:tcPr>
            <w:tcW w:type="dxa" w:w="2513"/>
            <w:shd w:fill="14213D"/>
            <w:tcMar>
              <w:top w:w="75" w:type="dxa"/>
              <w:start w:w="85" w:type="dxa"/>
              <w:bottom w:w="70" w:type="dxa"/>
              <w:end w:w="85" w:type="dxa"/>
            </w:tcMar>
          </w:tcPr>
          <w:p>
            <w:r>
              <w:rPr>
                <w:rFonts w:ascii="Aptos" w:hAnsi="Aptos"/>
                <w:b/>
                <w:color w:val="FFFFFF"/>
                <w:sz w:val="15"/>
              </w:rPr>
              <w:t>Confirmed completed</w:t>
            </w:r>
          </w:p>
        </w:tc>
        <w:tc>
          <w:tcPr>
            <w:tcW w:type="dxa" w:w="2513"/>
            <w:shd w:fill="14213D"/>
            <w:tcMar>
              <w:top w:w="75" w:type="dxa"/>
              <w:start w:w="85" w:type="dxa"/>
              <w:bottom w:w="70" w:type="dxa"/>
              <w:end w:w="85" w:type="dxa"/>
            </w:tcMar>
          </w:tcPr>
          <w:p>
            <w:r>
              <w:rPr>
                <w:rFonts w:ascii="Aptos" w:hAnsi="Aptos"/>
                <w:b/>
                <w:color w:val="FFFFFF"/>
                <w:sz w:val="15"/>
              </w:rPr>
              <w:t>Cannot launch until</w:t>
            </w:r>
          </w:p>
        </w:tc>
        <w:tc>
          <w:tcPr>
            <w:tcW w:type="dxa" w:w="2513"/>
            <w:shd w:fill="14213D"/>
            <w:tcMar>
              <w:top w:w="75" w:type="dxa"/>
              <w:start w:w="85" w:type="dxa"/>
              <w:bottom w:w="70" w:type="dxa"/>
              <w:end w:w="85" w:type="dxa"/>
            </w:tcMar>
          </w:tcPr>
          <w:p>
            <w:r>
              <w:rPr>
                <w:rFonts w:ascii="Aptos" w:hAnsi="Aptos"/>
                <w:b/>
                <w:color w:val="FFFFFF"/>
                <w:sz w:val="15"/>
              </w:rPr>
              <w:t>Next review</w:t>
            </w:r>
          </w:p>
        </w:tc>
      </w:tr>
      <w:tr>
        <w:tc>
          <w:tcPr>
            <w:tcW w:type="dxa" w:w="2016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  <w:tc>
          <w:tcPr>
            <w:tcW w:type="dxa" w:w="2664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  <w:tc>
          <w:tcPr>
            <w:tcW w:type="dxa" w:w="3024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  <w:tc>
          <w:tcPr>
            <w:tcW w:type="dxa" w:w="2376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052"/>
      </w:tblGrid>
      <w:tr>
        <w:tc>
          <w:tcPr>
            <w:tcW w:type="dxa" w:w="10052"/>
            <w:shd w:fill="F7F4ED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rFonts w:ascii="Aptos" w:hAnsi="Aptos"/>
                <w:b/>
                <w:color w:val="B38C41"/>
                <w:sz w:val="16"/>
              </w:rPr>
              <w:t xml:space="preserve">READINESS TEST   </w:t>
            </w:r>
            <w:r>
              <w:rPr>
                <w:rFonts w:ascii="Aptos" w:hAnsi="Aptos"/>
                <w:b w:val="0"/>
                <w:color w:val="14213D"/>
                <w:sz w:val="17"/>
              </w:rPr>
              <w:t>Do not count a task as complete merely because a document exists. Confirm whether it is accurate, authorized, staffed, trained, and able to be demonstrated.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152" w:right="1094" w:bottom="936" w:left="1094" w:header="403" w:footer="461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b w:val="0"/>
        <w:color w:val="596579"/>
        <w:sz w:val="14"/>
      </w:rPr>
      <w:t>Agency planning tool  •  Verify requirements with your state authority  •  Do not use as proof of approval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ptos" w:hAnsi="Aptos"/>
        <w:b/>
        <w:color w:val="B38C41"/>
        <w:sz w:val="15"/>
      </w:rPr>
      <w:t>FREE AGENCY STARTUP WORKSHEET  /  EDITABLE WORD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14213D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